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PROPOSED MOTION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That Internet NZ and the Board in exercising its powers should recognize that it serves</w:t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New Zealanders of diverse opinions and values, and so far as is practicable and in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keeping with the objects of the Society, maintain neutrality on contentious issues of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politics, religion or ideology, including on gender identities and the role of Te Tiriti.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SUPPORTING INFORMATION</w:t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motion is designed as a directive to the Board in its decision making, if the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members of InternetNZ agree.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Mover: Fiona Margaret Mackenzie</w:t>
        <w:br w:type="textWrapping"/>
        <w:t xml:space="preserve">Seconder: Lee Warwick Short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